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Times New Roman"/>
          <w:b/>
          <w:bCs/>
          <w:sz w:val="30"/>
          <w:szCs w:val="30"/>
        </w:rPr>
      </w:pPr>
      <w:r>
        <mc:AlternateContent>
          <mc:Choice Requires="wps">
            <w:drawing>
              <wp:anchor distT="0" distB="0" distL="114300" distR="114300" simplePos="0" relativeHeight="503315456" behindDoc="1" locked="0" layoutInCell="1" allowOverlap="1">
                <wp:simplePos x="0" y="0"/>
                <wp:positionH relativeFrom="column">
                  <wp:posOffset>-12700</wp:posOffset>
                </wp:positionH>
                <wp:positionV relativeFrom="paragraph">
                  <wp:posOffset>-38100</wp:posOffset>
                </wp:positionV>
                <wp:extent cx="5366385" cy="1284605"/>
                <wp:effectExtent l="4445" t="5080" r="20320" b="5715"/>
                <wp:wrapNone/>
                <wp:docPr id="3" name="文本框 3"/>
                <wp:cNvGraphicFramePr/>
                <a:graphic xmlns:a="http://schemas.openxmlformats.org/drawingml/2006/main">
                  <a:graphicData uri="http://schemas.microsoft.com/office/word/2010/wordprocessingShape">
                    <wps:wsp>
                      <wps:cNvSpPr txBox="1"/>
                      <wps:spPr>
                        <a:xfrm>
                          <a:off x="0" y="0"/>
                          <a:ext cx="5366385" cy="12846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000" w:lineRule="exact"/>
                              <w:jc w:val="distribute"/>
                              <w:rPr>
                                <w:rFonts w:ascii="方正小标宋简体" w:eastAsia="方正小标宋简体" w:cs="Times New Roman"/>
                                <w:color w:val="FF0000"/>
                                <w:spacing w:val="56"/>
                                <w:sz w:val="62"/>
                                <w:szCs w:val="62"/>
                              </w:rPr>
                            </w:pPr>
                            <w:r>
                              <w:rPr>
                                <w:rFonts w:hint="eastAsia" w:ascii="方正小标宋简体" w:eastAsia="方正小标宋简体" w:cs="方正小标宋简体"/>
                                <w:color w:val="FF0000"/>
                                <w:spacing w:val="56"/>
                                <w:sz w:val="62"/>
                                <w:szCs w:val="62"/>
                              </w:rPr>
                              <w:t>广西交通运输职业教育</w:t>
                            </w:r>
                          </w:p>
                          <w:p>
                            <w:pPr>
                              <w:spacing w:line="1000" w:lineRule="exact"/>
                              <w:jc w:val="distribute"/>
                              <w:rPr>
                                <w:rFonts w:ascii="方正小标宋简体" w:eastAsia="方正小标宋简体" w:cs="Times New Roman"/>
                                <w:color w:val="FF0000"/>
                                <w:spacing w:val="56"/>
                                <w:sz w:val="62"/>
                                <w:szCs w:val="62"/>
                              </w:rPr>
                            </w:pPr>
                            <w:r>
                              <w:rPr>
                                <w:rFonts w:hint="eastAsia" w:ascii="方正小标宋简体" w:eastAsia="方正小标宋简体" w:cs="方正小标宋简体"/>
                                <w:color w:val="FF0000"/>
                                <w:spacing w:val="56"/>
                                <w:sz w:val="62"/>
                                <w:szCs w:val="62"/>
                              </w:rPr>
                              <w:t>教学指导委员会</w:t>
                            </w:r>
                          </w:p>
                        </w:txbxContent>
                      </wps:txbx>
                      <wps:bodyPr upright="1"/>
                    </wps:wsp>
                  </a:graphicData>
                </a:graphic>
              </wp:anchor>
            </w:drawing>
          </mc:Choice>
          <mc:Fallback>
            <w:pict>
              <v:shape id="_x0000_s1026" o:spid="_x0000_s1026" o:spt="202" type="#_x0000_t202" style="position:absolute;left:0pt;margin-left:-1pt;margin-top:-3pt;height:101.15pt;width:422.55pt;z-index:-1024;mso-width-relative:page;mso-height-relative:page;" fillcolor="#FFFFFF" filled="t" stroked="t" coordsize="21600,21600" o:gfxdata="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nM9hNcAAAAJAQAADwAAAAAAAAABACAAAAAiAAAAZHJzL2Rvd25yZXYueG1sUEsBAhQAFAAAAAgA&#10;h07iQDatSu3tAQAA6QMAAA4AAAAAAAAAAQAgAAAAJgEAAGRycy9lMm9Eb2MueG1sUEsFBgAAAAAG&#10;AAYAWQEAAIUFAAAAAA==&#10;">
                <v:fill on="t" focussize="0,0"/>
                <v:stroke color="#FFFFFF" joinstyle="miter"/>
                <v:imagedata o:title=""/>
                <o:lock v:ext="edit" aspectratio="f"/>
                <v:textbox>
                  <w:txbxContent>
                    <w:p>
                      <w:pPr>
                        <w:spacing w:line="1000" w:lineRule="exact"/>
                        <w:jc w:val="distribute"/>
                        <w:rPr>
                          <w:rFonts w:ascii="方正小标宋简体" w:eastAsia="方正小标宋简体" w:cs="Times New Roman"/>
                          <w:color w:val="FF0000"/>
                          <w:spacing w:val="56"/>
                          <w:sz w:val="62"/>
                          <w:szCs w:val="62"/>
                        </w:rPr>
                      </w:pPr>
                      <w:r>
                        <w:rPr>
                          <w:rFonts w:hint="eastAsia" w:ascii="方正小标宋简体" w:eastAsia="方正小标宋简体" w:cs="方正小标宋简体"/>
                          <w:color w:val="FF0000"/>
                          <w:spacing w:val="56"/>
                          <w:sz w:val="62"/>
                          <w:szCs w:val="62"/>
                        </w:rPr>
                        <w:t>广西交通运输职业教育</w:t>
                      </w:r>
                    </w:p>
                    <w:p>
                      <w:pPr>
                        <w:spacing w:line="1000" w:lineRule="exact"/>
                        <w:jc w:val="distribute"/>
                        <w:rPr>
                          <w:rFonts w:ascii="方正小标宋简体" w:eastAsia="方正小标宋简体" w:cs="Times New Roman"/>
                          <w:color w:val="FF0000"/>
                          <w:spacing w:val="56"/>
                          <w:sz w:val="62"/>
                          <w:szCs w:val="62"/>
                        </w:rPr>
                      </w:pPr>
                      <w:r>
                        <w:rPr>
                          <w:rFonts w:hint="eastAsia" w:ascii="方正小标宋简体" w:eastAsia="方正小标宋简体" w:cs="方正小标宋简体"/>
                          <w:color w:val="FF0000"/>
                          <w:spacing w:val="56"/>
                          <w:sz w:val="62"/>
                          <w:szCs w:val="62"/>
                        </w:rPr>
                        <w:t>教学指导委员会</w:t>
                      </w:r>
                    </w:p>
                  </w:txbxContent>
                </v:textbox>
              </v:shape>
            </w:pict>
          </mc:Fallback>
        </mc:AlternateContent>
      </w:r>
    </w:p>
    <w:p>
      <w:pPr>
        <w:spacing w:line="360" w:lineRule="auto"/>
        <w:jc w:val="center"/>
        <w:rPr>
          <w:rFonts w:ascii="宋体" w:cs="Times New Roman"/>
          <w:b/>
          <w:bCs/>
          <w:sz w:val="30"/>
          <w:szCs w:val="30"/>
        </w:rPr>
      </w:pPr>
    </w:p>
    <w:p>
      <w:pPr>
        <w:spacing w:before="124" w:beforeLines="40" w:line="560" w:lineRule="exact"/>
        <w:jc w:val="right"/>
        <w:rPr>
          <w:rFonts w:ascii="仿宋" w:hAnsi="仿宋" w:eastAsia="仿宋" w:cs="Times New Roman"/>
          <w:sz w:val="32"/>
          <w:szCs w:val="32"/>
        </w:rPr>
      </w:pPr>
    </w:p>
    <w:p>
      <w:pPr>
        <w:spacing w:before="124" w:beforeLines="40" w:line="560" w:lineRule="exact"/>
        <w:jc w:val="right"/>
        <w:rPr>
          <w:rFonts w:hint="eastAsia" w:ascii="仿宋" w:hAnsi="仿宋" w:eastAsia="仿宋" w:cs="仿宋"/>
          <w:sz w:val="32"/>
          <w:szCs w:val="32"/>
        </w:rPr>
      </w:pPr>
      <w:r>
        <mc:AlternateContent>
          <mc:Choice Requires="wps">
            <w:drawing>
              <wp:anchor distT="0" distB="0" distL="114300" distR="114300" simplePos="0" relativeHeight="1024" behindDoc="0" locked="0" layoutInCell="1" allowOverlap="1">
                <wp:simplePos x="0" y="0"/>
                <wp:positionH relativeFrom="column">
                  <wp:posOffset>16510</wp:posOffset>
                </wp:positionH>
                <wp:positionV relativeFrom="paragraph">
                  <wp:posOffset>55880</wp:posOffset>
                </wp:positionV>
                <wp:extent cx="5210175" cy="8255"/>
                <wp:effectExtent l="0" t="28575" r="9525" b="39370"/>
                <wp:wrapNone/>
                <wp:docPr id="1" name="直接连接符 1"/>
                <wp:cNvGraphicFramePr/>
                <a:graphic xmlns:a="http://schemas.openxmlformats.org/drawingml/2006/main">
                  <a:graphicData uri="http://schemas.microsoft.com/office/word/2010/wordprocessingShape">
                    <wps:wsp>
                      <wps:cNvCnPr/>
                      <wps:spPr>
                        <a:xfrm>
                          <a:off x="0" y="0"/>
                          <a:ext cx="5210175" cy="825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4.4pt;height:0.65pt;width:410.25pt;z-index:1024;mso-width-relative:page;mso-height-relative:page;" filled="f" stroked="t" coordsize="21600,21600" o:gfxdata="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A+DXvRAAAABgEAAA8AAAAA&#10;AAAAAQAgAAAAIgAAAGRycy9kb3ducmV2LnhtbFBLAQIUABQAAAAIAIdO4kBXTd/n4gEAAKADAAAO&#10;AAAAAAAAAAEAIAAAACABAABkcnMvZTJvRG9jLnhtbFBLBQYAAAAABgAGAFkBAAB0BQAAAAA=&#10;">
                <v:fill on="f" focussize="0,0"/>
                <v:stroke weight="4.5pt" color="#FF0000" linestyle="thickThin" joinstyle="round"/>
                <v:imagedata o:title=""/>
                <o:lock v:ext="edit" aspectratio="f"/>
              </v:line>
            </w:pict>
          </mc:Fallback>
        </mc:AlternateContent>
      </w:r>
      <w:r>
        <w:rPr>
          <w:rFonts w:hint="eastAsia" w:ascii="仿宋" w:hAnsi="仿宋" w:eastAsia="仿宋" w:cs="仿宋"/>
          <w:sz w:val="32"/>
          <w:szCs w:val="32"/>
        </w:rPr>
        <w:t>交通行指委〔</w:t>
      </w:r>
      <w:r>
        <w:rPr>
          <w:rFonts w:ascii="仿宋" w:hAnsi="仿宋" w:eastAsia="仿宋" w:cs="仿宋"/>
          <w:sz w:val="32"/>
          <w:szCs w:val="32"/>
        </w:rPr>
        <w:t>2018</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pPr>
        <w:spacing w:before="124" w:beforeLines="40" w:line="560" w:lineRule="exact"/>
        <w:jc w:val="righ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广西交通运输职业教育教学指导委员会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2014-2015年度职业教育示范特色专业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及实训基地建设项目</w:t>
      </w:r>
      <w:r>
        <w:rPr>
          <w:rFonts w:hint="eastAsia" w:ascii="方正小标宋简体" w:hAnsi="方正小标宋简体" w:eastAsia="方正小标宋简体" w:cs="方正小标宋简体"/>
          <w:b w:val="0"/>
          <w:bCs w:val="0"/>
          <w:sz w:val="44"/>
          <w:szCs w:val="44"/>
          <w:lang w:eastAsia="zh-CN"/>
        </w:rPr>
        <w:t>集中</w:t>
      </w:r>
      <w:r>
        <w:rPr>
          <w:rFonts w:hint="eastAsia" w:ascii="方正小标宋简体" w:hAnsi="方正小标宋简体" w:eastAsia="方正小标宋简体" w:cs="方正小标宋简体"/>
          <w:b w:val="0"/>
          <w:bCs w:val="0"/>
          <w:sz w:val="44"/>
          <w:szCs w:val="44"/>
        </w:rPr>
        <w:t>验收工作方案</w:t>
      </w:r>
    </w:p>
    <w:p>
      <w:pPr>
        <w:spacing w:before="124" w:beforeLines="40" w:line="560" w:lineRule="exact"/>
        <w:jc w:val="right"/>
        <w:rPr>
          <w:rFonts w:hint="eastAsia" w:ascii="仿宋" w:hAnsi="仿宋" w:eastAsia="仿宋" w:cs="仿宋"/>
          <w:sz w:val="32"/>
          <w:szCs w:val="32"/>
        </w:rPr>
      </w:pPr>
    </w:p>
    <w:p>
      <w:pPr>
        <w:adjustRightInd w:val="0"/>
        <w:snapToGrid w:val="0"/>
        <w:spacing w:line="56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一、验收目的</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总结交流全区职业教育示范特色专业及实训基地建设经验，宣传推广示范特色专业及实训基地建设成果，发挥示范特色专业及实训基地建设的示范和带动作用，促进职业院校结合自身发展定位，发挥办学优势，凸显办学特色，面向社会需求优化专业结构与布局，深化教育教学改革，提高技术技能人才培养质量，提升职业教育服务产业发展的能力和水平，增强我区职业院校的核心竞争力，为广西经济社会发展提供人才和智力支撑。</w:t>
      </w:r>
    </w:p>
    <w:p>
      <w:pPr>
        <w:adjustRightInd w:val="0"/>
        <w:snapToGrid w:val="0"/>
        <w:spacing w:line="560" w:lineRule="exact"/>
        <w:ind w:firstLine="562" w:firstLineChars="200"/>
        <w:rPr>
          <w:rFonts w:ascii="黑体" w:hAnsi="黑体" w:eastAsia="黑体" w:cs="Times New Roman"/>
          <w:sz w:val="28"/>
          <w:szCs w:val="28"/>
        </w:rPr>
      </w:pPr>
      <w:r>
        <w:rPr>
          <w:rFonts w:hint="eastAsia" w:ascii="仿宋" w:hAnsi="仿宋" w:eastAsia="仿宋" w:cs="仿宋"/>
          <w:b/>
          <w:bCs/>
          <w:sz w:val="28"/>
          <w:szCs w:val="28"/>
        </w:rPr>
        <w:t>二、验收对象和时间</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验收对象为</w:t>
      </w:r>
      <w:r>
        <w:rPr>
          <w:rFonts w:ascii="仿宋" w:hAnsi="仿宋" w:eastAsia="仿宋" w:cs="仿宋"/>
          <w:sz w:val="28"/>
          <w:szCs w:val="28"/>
        </w:rPr>
        <w:t>2014—2015</w:t>
      </w:r>
      <w:r>
        <w:rPr>
          <w:rFonts w:hint="eastAsia" w:ascii="仿宋" w:hAnsi="仿宋" w:eastAsia="仿宋" w:cs="仿宋"/>
          <w:sz w:val="28"/>
          <w:szCs w:val="28"/>
        </w:rPr>
        <w:t>年度立项建设的职业教育示范特色专业及实训基地建设项目</w:t>
      </w:r>
      <w:r>
        <w:rPr>
          <w:rFonts w:ascii="仿宋" w:hAnsi="仿宋" w:eastAsia="仿宋" w:cs="仿宋"/>
          <w:sz w:val="28"/>
          <w:szCs w:val="28"/>
        </w:rPr>
        <w:t>,</w:t>
      </w:r>
      <w:r>
        <w:rPr>
          <w:rFonts w:hint="eastAsia" w:ascii="仿宋" w:hAnsi="仿宋" w:eastAsia="仿宋" w:cs="仿宋"/>
          <w:sz w:val="28"/>
          <w:szCs w:val="28"/>
        </w:rPr>
        <w:t>共</w:t>
      </w:r>
      <w:r>
        <w:rPr>
          <w:rFonts w:ascii="仿宋" w:hAnsi="仿宋" w:eastAsia="仿宋" w:cs="仿宋"/>
          <w:sz w:val="28"/>
          <w:szCs w:val="28"/>
        </w:rPr>
        <w:t>33</w:t>
      </w:r>
      <w:r>
        <w:rPr>
          <w:rFonts w:hint="eastAsia" w:ascii="仿宋" w:hAnsi="仿宋" w:eastAsia="仿宋" w:cs="仿宋"/>
          <w:sz w:val="28"/>
          <w:szCs w:val="28"/>
        </w:rPr>
        <w:t>个，其中高职</w:t>
      </w:r>
      <w:r>
        <w:rPr>
          <w:rFonts w:ascii="仿宋" w:hAnsi="仿宋" w:eastAsia="仿宋" w:cs="仿宋"/>
          <w:sz w:val="28"/>
          <w:szCs w:val="28"/>
        </w:rPr>
        <w:t>7</w:t>
      </w:r>
      <w:r>
        <w:rPr>
          <w:rFonts w:hint="eastAsia" w:ascii="仿宋" w:hAnsi="仿宋" w:eastAsia="仿宋" w:cs="仿宋"/>
          <w:sz w:val="28"/>
          <w:szCs w:val="28"/>
        </w:rPr>
        <w:t>个，中职</w:t>
      </w:r>
      <w:r>
        <w:rPr>
          <w:rFonts w:ascii="仿宋" w:hAnsi="仿宋" w:eastAsia="仿宋" w:cs="仿宋"/>
          <w:sz w:val="28"/>
          <w:szCs w:val="28"/>
        </w:rPr>
        <w:t>26</w:t>
      </w:r>
      <w:r>
        <w:rPr>
          <w:rFonts w:hint="eastAsia" w:ascii="仿宋" w:hAnsi="仿宋" w:eastAsia="仿宋" w:cs="仿宋"/>
          <w:sz w:val="28"/>
          <w:szCs w:val="28"/>
        </w:rPr>
        <w:t>个。</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项目验收分主动申请验收和集中验收两个时间阶段。</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主动申请验收阶段：</w:t>
      </w:r>
      <w:r>
        <w:rPr>
          <w:rFonts w:ascii="仿宋" w:hAnsi="仿宋" w:eastAsia="仿宋" w:cs="仿宋"/>
          <w:sz w:val="28"/>
          <w:szCs w:val="28"/>
        </w:rPr>
        <w:t>2018</w:t>
      </w:r>
      <w:r>
        <w:rPr>
          <w:rFonts w:hint="eastAsia" w:ascii="仿宋" w:hAnsi="仿宋" w:eastAsia="仿宋" w:cs="仿宋"/>
          <w:sz w:val="28"/>
          <w:szCs w:val="28"/>
        </w:rPr>
        <w:t>年</w:t>
      </w:r>
      <w:r>
        <w:rPr>
          <w:rFonts w:ascii="仿宋" w:hAnsi="仿宋" w:eastAsia="仿宋" w:cs="仿宋"/>
          <w:sz w:val="28"/>
          <w:szCs w:val="28"/>
        </w:rPr>
        <w:t>5</w:t>
      </w:r>
      <w:r>
        <w:rPr>
          <w:rFonts w:hint="eastAsia" w:ascii="仿宋" w:hAnsi="仿宋" w:eastAsia="仿宋" w:cs="仿宋"/>
          <w:sz w:val="28"/>
          <w:szCs w:val="28"/>
        </w:rPr>
        <w:t>月完成，各项目学校可根据自身情况主动向行指委申请验收，行指委组织专家进校验收。</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集中验收阶段：</w:t>
      </w:r>
      <w:r>
        <w:rPr>
          <w:rFonts w:ascii="仿宋" w:hAnsi="仿宋" w:eastAsia="仿宋" w:cs="仿宋"/>
          <w:sz w:val="28"/>
          <w:szCs w:val="28"/>
        </w:rPr>
        <w:t>2018</w:t>
      </w:r>
      <w:r>
        <w:rPr>
          <w:rFonts w:hint="eastAsia" w:ascii="仿宋" w:hAnsi="仿宋" w:eastAsia="仿宋" w:cs="仿宋"/>
          <w:sz w:val="28"/>
          <w:szCs w:val="28"/>
        </w:rPr>
        <w:t>年</w:t>
      </w:r>
      <w:r>
        <w:rPr>
          <w:rFonts w:ascii="仿宋" w:hAnsi="仿宋" w:eastAsia="仿宋" w:cs="仿宋"/>
          <w:sz w:val="28"/>
          <w:szCs w:val="28"/>
        </w:rPr>
        <w:t>6</w:t>
      </w:r>
      <w:r>
        <w:rPr>
          <w:rFonts w:hint="eastAsia" w:ascii="仿宋" w:hAnsi="仿宋" w:eastAsia="仿宋" w:cs="仿宋"/>
          <w:sz w:val="28"/>
          <w:szCs w:val="28"/>
        </w:rPr>
        <w:t>月</w:t>
      </w:r>
      <w:r>
        <w:rPr>
          <w:rFonts w:ascii="仿宋" w:hAnsi="仿宋" w:eastAsia="仿宋" w:cs="仿宋"/>
          <w:sz w:val="28"/>
          <w:szCs w:val="28"/>
        </w:rPr>
        <w:t>-7</w:t>
      </w:r>
      <w:r>
        <w:rPr>
          <w:rFonts w:hint="eastAsia" w:ascii="仿宋" w:hAnsi="仿宋" w:eastAsia="仿宋" w:cs="仿宋"/>
          <w:sz w:val="28"/>
          <w:szCs w:val="28"/>
        </w:rPr>
        <w:t>月</w:t>
      </w:r>
      <w:r>
        <w:rPr>
          <w:rFonts w:ascii="仿宋" w:hAnsi="仿宋" w:eastAsia="仿宋" w:cs="仿宋"/>
          <w:sz w:val="28"/>
          <w:szCs w:val="28"/>
        </w:rPr>
        <w:t>31</w:t>
      </w:r>
      <w:r>
        <w:rPr>
          <w:rFonts w:hint="eastAsia" w:ascii="仿宋" w:hAnsi="仿宋" w:eastAsia="仿宋" w:cs="仿宋"/>
          <w:sz w:val="28"/>
          <w:szCs w:val="28"/>
        </w:rPr>
        <w:t>日，对未主动申请验收的项目，行指委将组织专家进行集中验收，验收具体时间根据统筹另行通知项目学校。</w:t>
      </w:r>
    </w:p>
    <w:p>
      <w:pPr>
        <w:adjustRightInd w:val="0"/>
        <w:snapToGrid w:val="0"/>
        <w:spacing w:line="560" w:lineRule="exact"/>
        <w:ind w:firstLine="562" w:firstLineChars="200"/>
        <w:rPr>
          <w:rFonts w:ascii="黑体" w:hAnsi="黑体" w:eastAsia="黑体" w:cs="Times New Roman"/>
          <w:sz w:val="28"/>
          <w:szCs w:val="28"/>
        </w:rPr>
      </w:pPr>
      <w:r>
        <w:rPr>
          <w:rFonts w:hint="eastAsia" w:ascii="仿宋" w:hAnsi="仿宋" w:eastAsia="仿宋" w:cs="仿宋"/>
          <w:b/>
          <w:bCs/>
          <w:sz w:val="28"/>
          <w:szCs w:val="28"/>
        </w:rPr>
        <w:t>三、验收依据和主要内容</w:t>
      </w:r>
    </w:p>
    <w:p>
      <w:pPr>
        <w:adjustRightInd w:val="0"/>
        <w:snapToGrid w:val="0"/>
        <w:spacing w:line="560" w:lineRule="exact"/>
        <w:ind w:firstLine="560" w:firstLineChars="200"/>
        <w:jc w:val="left"/>
        <w:rPr>
          <w:rFonts w:ascii="仿宋" w:hAnsi="仿宋" w:eastAsia="仿宋" w:cs="Times New Roman"/>
          <w:sz w:val="28"/>
          <w:szCs w:val="28"/>
        </w:rPr>
      </w:pPr>
      <w:r>
        <w:rPr>
          <w:rFonts w:hint="eastAsia" w:ascii="仿宋" w:hAnsi="仿宋" w:eastAsia="仿宋" w:cs="仿宋"/>
          <w:sz w:val="28"/>
          <w:szCs w:val="28"/>
        </w:rPr>
        <w:t>根据《关于加强我区职业教育示范特色专业及实训基地建设的指导意见》（桂教规范〔</w:t>
      </w:r>
      <w:r>
        <w:rPr>
          <w:rFonts w:ascii="仿宋" w:hAnsi="仿宋" w:eastAsia="仿宋" w:cs="仿宋"/>
          <w:sz w:val="28"/>
          <w:szCs w:val="28"/>
        </w:rPr>
        <w:t>2016</w:t>
      </w: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号）、《广西壮族自治区职业教育示范特色专业及实训基地建设项目管理办法（试行）》（桂教职成〔</w:t>
      </w:r>
      <w:r>
        <w:rPr>
          <w:rFonts w:ascii="仿宋" w:hAnsi="仿宋" w:eastAsia="仿宋" w:cs="仿宋"/>
          <w:sz w:val="28"/>
          <w:szCs w:val="28"/>
        </w:rPr>
        <w:t>2016</w:t>
      </w: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号）、《广西壮族自治区教育厅关于开展</w:t>
      </w:r>
      <w:r>
        <w:rPr>
          <w:rFonts w:ascii="仿宋" w:hAnsi="仿宋" w:eastAsia="仿宋" w:cs="仿宋"/>
          <w:sz w:val="28"/>
          <w:szCs w:val="28"/>
        </w:rPr>
        <w:t>2014—2015</w:t>
      </w:r>
      <w:r>
        <w:rPr>
          <w:rFonts w:hint="eastAsia" w:ascii="仿宋" w:hAnsi="仿宋" w:eastAsia="仿宋" w:cs="仿宋"/>
          <w:sz w:val="28"/>
          <w:szCs w:val="28"/>
        </w:rPr>
        <w:t>年度职业教育示范特色专业及实训基地建设立项项目验收工作的通知》（桂教职成〔</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号）文件精神，以职业教育示范特色专业及实训基地建设项目建设方案和任务书为依据，主要核查建设方案执行情况、建设任务完成情况、专项资金预算执行情况；以绩效为导向聚焦投入后的实际产出，主要考察项目功能任务实现效果、人才培养质量、社会服务成效、标志性成果的实现情况、对全区同类专业的示范推广作用以及项目的总体绩效等。</w:t>
      </w:r>
    </w:p>
    <w:p>
      <w:pPr>
        <w:adjustRightInd w:val="0"/>
        <w:snapToGrid w:val="0"/>
        <w:spacing w:line="56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四、验收工作要求</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项目验收工作必须严格遵守中央八项规定精神等相关纪律，公务用餐做到简朴方便，住宿符合相关标准，专家组差旅住宿费回原单位报销。验收专家劳务费由项目验收学校按照国家、自治区财政相关标准支付；行指委组织相关会议，专家经费由行指委秘书处所在学校统筹安排。专家组成员除统一付给劳务费之外，不得私下收受学校的任何财物，也不得私下接受学校的宴请或其他娱乐活动安排，凡确定作为相关项目验收专家后，不得在验收前后</w:t>
      </w:r>
      <w:r>
        <w:rPr>
          <w:rFonts w:ascii="仿宋" w:hAnsi="仿宋" w:eastAsia="仿宋" w:cs="仿宋"/>
          <w:sz w:val="28"/>
          <w:szCs w:val="28"/>
        </w:rPr>
        <w:t>1</w:t>
      </w:r>
      <w:r>
        <w:rPr>
          <w:rFonts w:hint="eastAsia" w:ascii="仿宋" w:hAnsi="仿宋" w:eastAsia="仿宋" w:cs="仿宋"/>
          <w:sz w:val="28"/>
          <w:szCs w:val="28"/>
        </w:rPr>
        <w:t>个月内到相关院校组织或参与验收指导工作。</w:t>
      </w:r>
    </w:p>
    <w:p>
      <w:pPr>
        <w:adjustRightInd w:val="0"/>
        <w:snapToGrid w:val="0"/>
        <w:spacing w:line="56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五、验收工作流程</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成立交通运输行指委项目验收工作机构，制定工作方案。</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行指委秘书处接收各项目建设学校申请验收报告及经主管部门盖章的纸质报备材料，检查项目验收专题网站是否按要求建立，填写广西职业教育示范特色专业及实训基地建设项目行指委验收报备表，向教育厅职成处报备。</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行指委秘书处组织拟担任验收小组组长、联络员进行集中学习“关于开展</w:t>
      </w:r>
      <w:r>
        <w:rPr>
          <w:rFonts w:ascii="仿宋" w:hAnsi="仿宋" w:eastAsia="仿宋" w:cs="仿宋"/>
          <w:sz w:val="28"/>
          <w:szCs w:val="28"/>
        </w:rPr>
        <w:t>2014-2015</w:t>
      </w:r>
      <w:r>
        <w:rPr>
          <w:rFonts w:hint="eastAsia" w:ascii="仿宋" w:hAnsi="仿宋" w:eastAsia="仿宋" w:cs="仿宋"/>
          <w:sz w:val="28"/>
          <w:szCs w:val="28"/>
        </w:rPr>
        <w:t>年度职业教育示范特色专业及实训基地建设立项项目验收工作的通知》（桂教职成〔</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号）”文件，共同研读文件和理解评分标准，统一工作思路和方法。</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集中</w:t>
      </w:r>
      <w:r>
        <w:rPr>
          <w:rFonts w:hint="eastAsia" w:ascii="仿宋" w:hAnsi="仿宋" w:eastAsia="仿宋" w:cs="仿宋"/>
          <w:sz w:val="28"/>
          <w:szCs w:val="28"/>
        </w:rPr>
        <w:t>验收的项目</w:t>
      </w:r>
      <w:r>
        <w:rPr>
          <w:rFonts w:hint="eastAsia" w:ascii="仿宋" w:hAnsi="仿宋" w:eastAsia="仿宋" w:cs="仿宋"/>
          <w:sz w:val="28"/>
          <w:szCs w:val="28"/>
          <w:lang w:eastAsia="zh-CN"/>
        </w:rPr>
        <w:t>：根据</w:t>
      </w:r>
      <w:r>
        <w:rPr>
          <w:rFonts w:hint="eastAsia" w:ascii="仿宋" w:hAnsi="仿宋" w:eastAsia="仿宋" w:cs="仿宋"/>
          <w:sz w:val="28"/>
          <w:szCs w:val="28"/>
        </w:rPr>
        <w:t>桂教职成〔</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号</w:t>
      </w:r>
      <w:r>
        <w:rPr>
          <w:rFonts w:hint="eastAsia" w:ascii="仿宋" w:hAnsi="仿宋" w:eastAsia="仿宋" w:cs="仿宋"/>
          <w:sz w:val="28"/>
          <w:szCs w:val="28"/>
          <w:lang w:eastAsia="zh-CN"/>
        </w:rPr>
        <w:t>验收程序要求，需先进行</w:t>
      </w:r>
      <w:r>
        <w:rPr>
          <w:rFonts w:hint="eastAsia" w:ascii="仿宋" w:hAnsi="仿宋" w:eastAsia="仿宋" w:cs="仿宋"/>
          <w:sz w:val="28"/>
          <w:szCs w:val="28"/>
        </w:rPr>
        <w:t>学校自查</w:t>
      </w:r>
      <w:r>
        <w:rPr>
          <w:rFonts w:hint="eastAsia" w:ascii="仿宋" w:hAnsi="仿宋" w:eastAsia="仿宋" w:cs="仿宋"/>
          <w:sz w:val="28"/>
          <w:szCs w:val="28"/>
          <w:lang w:eastAsia="zh-CN"/>
        </w:rPr>
        <w:t>、</w:t>
      </w:r>
      <w:r>
        <w:rPr>
          <w:rFonts w:hint="eastAsia" w:ascii="仿宋" w:hAnsi="仿宋" w:eastAsia="仿宋" w:cs="仿宋"/>
          <w:sz w:val="28"/>
          <w:szCs w:val="28"/>
        </w:rPr>
        <w:t>第三方审计，在此基础上建立项目验收专题网站（或在学校门户网站开设专栏)，向社会公开展示期满10天后，</w:t>
      </w:r>
      <w:r>
        <w:rPr>
          <w:rFonts w:hint="eastAsia" w:ascii="仿宋" w:hAnsi="仿宋" w:eastAsia="仿宋" w:cs="仿宋"/>
          <w:sz w:val="28"/>
          <w:szCs w:val="28"/>
          <w:lang w:eastAsia="zh-CN"/>
        </w:rPr>
        <w:t>将有关材料发至</w:t>
      </w:r>
      <w:r>
        <w:rPr>
          <w:rFonts w:hint="eastAsia" w:ascii="仿宋" w:hAnsi="仿宋" w:eastAsia="仿宋" w:cs="仿宋"/>
          <w:sz w:val="28"/>
          <w:szCs w:val="28"/>
        </w:rPr>
        <w:t>向行指委</w:t>
      </w:r>
      <w:r>
        <w:rPr>
          <w:rFonts w:hint="eastAsia" w:ascii="仿宋" w:hAnsi="仿宋" w:eastAsia="仿宋" w:cs="仿宋"/>
          <w:sz w:val="28"/>
          <w:szCs w:val="28"/>
          <w:lang w:eastAsia="zh-CN"/>
        </w:rPr>
        <w:t>邮箱，</w:t>
      </w:r>
      <w:r>
        <w:rPr>
          <w:rFonts w:hint="eastAsia" w:ascii="仿宋" w:hAnsi="仿宋" w:eastAsia="仿宋" w:cs="仿宋"/>
          <w:sz w:val="28"/>
          <w:szCs w:val="28"/>
        </w:rPr>
        <w:t>行指委将组织专家进行集中验收</w:t>
      </w:r>
      <w:r>
        <w:rPr>
          <w:rFonts w:hint="eastAsia" w:ascii="仿宋" w:hAnsi="仿宋" w:eastAsia="仿宋" w:cs="仿宋"/>
          <w:sz w:val="28"/>
          <w:szCs w:val="28"/>
          <w:lang w:eastAsia="zh-CN"/>
        </w:rPr>
        <w:t>。</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lang w:val="en-US" w:eastAsia="zh-CN"/>
        </w:rPr>
        <w:t>5</w:t>
      </w:r>
      <w:r>
        <w:rPr>
          <w:rFonts w:ascii="仿宋" w:hAnsi="仿宋" w:eastAsia="仿宋" w:cs="仿宋"/>
          <w:sz w:val="28"/>
          <w:szCs w:val="28"/>
        </w:rPr>
        <w:t>.</w:t>
      </w:r>
      <w:r>
        <w:rPr>
          <w:rFonts w:hint="eastAsia" w:ascii="仿宋" w:hAnsi="仿宋" w:eastAsia="仿宋" w:cs="仿宋"/>
          <w:sz w:val="28"/>
          <w:szCs w:val="28"/>
        </w:rPr>
        <w:t>专家验收</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每个项目专家验收时间为一天，分为网上资料初审、现场验收两个阶段。</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）网上资料初审：</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行指委组织专家组对各项目学校提交的专业验收材料进行网络初审，审查专业建设展示内容，确定现场考察的重点内容，填写《广西职业教育示范特色专业及实训基地建设项目（网络）初审情况登记表》。</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）现场验收</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专家小组赴各项目院校现场考察项目设情况。主要工作环节包括</w:t>
      </w:r>
      <w:r>
        <w:rPr>
          <w:rFonts w:ascii="仿宋" w:hAnsi="仿宋" w:eastAsia="仿宋" w:cs="仿宋"/>
          <w:sz w:val="28"/>
          <w:szCs w:val="28"/>
        </w:rPr>
        <w:t>5</w:t>
      </w:r>
      <w:r>
        <w:rPr>
          <w:rFonts w:hint="eastAsia" w:ascii="仿宋" w:hAnsi="仿宋" w:eastAsia="仿宋" w:cs="仿宋"/>
          <w:sz w:val="28"/>
          <w:szCs w:val="28"/>
        </w:rPr>
        <w:t>个方面。</w:t>
      </w:r>
    </w:p>
    <w:p>
      <w:pPr>
        <w:spacing w:line="560" w:lineRule="exact"/>
        <w:ind w:firstLine="560" w:firstLineChars="200"/>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）听取院校负责人关于全校职业教育示范特色专业及实训基地建设总体情况的汇报（侧重统筹资源、机制建设）；</w:t>
      </w:r>
    </w:p>
    <w:p>
      <w:pPr>
        <w:spacing w:line="560" w:lineRule="exact"/>
        <w:ind w:firstLine="560" w:firstLineChars="200"/>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）听取项目负责人关于示范特色专业及实训基地建设情况的汇报（侧重建设目标实现、成果成效）；</w:t>
      </w:r>
    </w:p>
    <w:p>
      <w:pPr>
        <w:spacing w:line="560" w:lineRule="exact"/>
        <w:ind w:firstLine="560" w:firstLineChars="200"/>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）向财务部门和教学管理部门核查示范特色专业及实训基地建设经费（主要审查复核第三方审计报告，含财政专项和学校自筹）投入及软性成果产出情况；</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）实地考察实训基地建设情况</w:t>
      </w:r>
      <w:r>
        <w:rPr>
          <w:rFonts w:ascii="仿宋" w:hAnsi="仿宋" w:eastAsia="仿宋" w:cs="仿宋"/>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仿宋"/>
          <w:sz w:val="28"/>
          <w:szCs w:val="28"/>
        </w:rPr>
        <w:t>5</w:t>
      </w:r>
      <w:r>
        <w:rPr>
          <w:rFonts w:hint="eastAsia" w:ascii="仿宋" w:hAnsi="仿宋" w:eastAsia="仿宋" w:cs="仿宋"/>
          <w:sz w:val="28"/>
          <w:szCs w:val="28"/>
        </w:rPr>
        <w:t>）根据示范特色专业及实训基地建验收标准开展其它考察活动。</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验收专家组填写《广西职业教育示范特色专业及实训基地建设项目（现场）验收评价登记表》和《广西职业教育示范特色专业及实训基地建设项目验收报告表》。同时，完成验收小组的验收工作总结。</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lang w:val="en-US" w:eastAsia="zh-CN"/>
        </w:rPr>
        <w:t>6</w:t>
      </w:r>
      <w:r>
        <w:rPr>
          <w:rFonts w:ascii="仿宋" w:hAnsi="仿宋" w:eastAsia="仿宋" w:cs="仿宋"/>
          <w:sz w:val="28"/>
          <w:szCs w:val="28"/>
        </w:rPr>
        <w:t>.</w:t>
      </w:r>
      <w:r>
        <w:rPr>
          <w:rFonts w:hint="eastAsia" w:ascii="仿宋" w:hAnsi="仿宋" w:eastAsia="仿宋" w:cs="仿宋"/>
          <w:sz w:val="28"/>
          <w:szCs w:val="28"/>
        </w:rPr>
        <w:t>行指委评议打分。</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验收专家小组向行指委会议报告网络初评和现场验收情况，并由行指委会议评议打分确定验收结论。验收期间行指委评议会视情况召开，一般半月或者一月召开一次。行指委评议会参会人员至少应包括验收领导小组组长、五个验收专家小组的组长或联络员、行指委秘书处联络员等。</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lang w:val="en-US" w:eastAsia="zh-CN"/>
        </w:rPr>
        <w:t>7</w:t>
      </w:r>
      <w:r>
        <w:rPr>
          <w:rFonts w:ascii="仿宋" w:hAnsi="仿宋" w:eastAsia="仿宋" w:cs="仿宋"/>
          <w:sz w:val="28"/>
          <w:szCs w:val="28"/>
        </w:rPr>
        <w:t>.</w:t>
      </w:r>
      <w:r>
        <w:rPr>
          <w:rFonts w:hint="eastAsia" w:ascii="仿宋" w:hAnsi="仿宋" w:eastAsia="仿宋" w:cs="仿宋"/>
          <w:sz w:val="28"/>
          <w:szCs w:val="28"/>
        </w:rPr>
        <w:t>行指委向教育厅职成处报备验收材料，包括以下三类文件：</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）各学校主动申请验收的材料，一式一份；</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）行指委主动验收的工作方案（包括专家安排，验收日期，拟邀请的相关其他单位参与情况），一式一份；</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）关于开展验收的报告（做报备用，需包括主动验收单位，验收安排日期，专家等信息）。</w:t>
      </w:r>
    </w:p>
    <w:p>
      <w:pPr>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lang w:val="en-US" w:eastAsia="zh-CN"/>
        </w:rPr>
        <w:t>8</w:t>
      </w:r>
      <w:r>
        <w:rPr>
          <w:rFonts w:ascii="仿宋" w:hAnsi="仿宋" w:eastAsia="仿宋" w:cs="仿宋"/>
          <w:sz w:val="28"/>
          <w:szCs w:val="28"/>
        </w:rPr>
        <w:t>.</w:t>
      </w:r>
      <w:r>
        <w:rPr>
          <w:rFonts w:hint="eastAsia" w:ascii="仿宋" w:hAnsi="仿宋" w:eastAsia="仿宋" w:cs="仿宋"/>
          <w:sz w:val="28"/>
          <w:szCs w:val="28"/>
        </w:rPr>
        <w:t>自治区教育厅、财政厅根据行指委会议报备结果，审核确定验收结论，并由教育厅统一发文公布最终结果。</w:t>
      </w:r>
    </w:p>
    <w:p>
      <w:pPr>
        <w:adjustRightInd w:val="0"/>
        <w:snapToGrid w:val="0"/>
        <w:spacing w:line="56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六、验收专家机构</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验收领导小组</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组长：王劼耘</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副组长：程轮</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成员：由行指委副主任委员组成</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工作职责：指导行指委秘书处制定验收工作方案，安排、协调验收各项工作，向教育厅职成处上报验收结果。</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验收专家库</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成立由广西交通运输职业教育教学指导委员会及下设的汽车专业指导委员会、道路桥梁工程专业指导委员会全体成员组成的验收专家库。同时，争取邀请行业主管部门、业务主管部门、全国交通行业职业教育教学指导委员会委员或者外省先进单位主要领导参与验收指导；对自评为优秀级别的示范特色专业及实训基地验收，积极邀请区内相关行业研究机构或者大型事业单位参与；技工学校的验收积极邀请人社厅参与。</w:t>
      </w:r>
    </w:p>
    <w:p>
      <w:pPr>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验收专家小组</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每个项目从专家库选取</w:t>
      </w:r>
      <w:r>
        <w:rPr>
          <w:rFonts w:ascii="仿宋" w:hAnsi="仿宋" w:eastAsia="仿宋" w:cs="仿宋"/>
          <w:sz w:val="28"/>
          <w:szCs w:val="28"/>
        </w:rPr>
        <w:t>5</w:t>
      </w:r>
      <w:r>
        <w:rPr>
          <w:rFonts w:hint="eastAsia" w:ascii="仿宋" w:hAnsi="仿宋" w:eastAsia="仿宋" w:cs="仿宋"/>
          <w:sz w:val="28"/>
          <w:szCs w:val="28"/>
        </w:rPr>
        <w:t>人组成验收专家小组，每个验收专家小组设组长一名，联络员一名，成员包含高等学校或职业院校相关专家，行业、企业相关技术人员，财务专家。</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组长工作职责：负责统筹安排验收专家小组的验收工作，主持现场验收会议，解读评分标准。</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联络员工作职责：负责每个验收专家小组的具体验收组织工作，包括与组长、组员的联络、与行指委秘书处的联络、与验收单位的联络，收集验收小组的评审表格，记录小组评审工作过程，形成验收工作总结，向行指委评议会汇报验收情况。</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成员工作职责：按验收依据和主要内容开展验收工作，并协助组长、联络员完成项目验收报告、总结等工作。</w:t>
      </w:r>
    </w:p>
    <w:p>
      <w:pPr>
        <w:adjustRightInd w:val="0"/>
        <w:snapToGrid w:val="0"/>
        <w:spacing w:line="56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七、项目</w:t>
      </w:r>
      <w:r>
        <w:rPr>
          <w:rFonts w:hint="eastAsia" w:ascii="仿宋" w:hAnsi="仿宋" w:eastAsia="仿宋" w:cs="仿宋"/>
          <w:b/>
          <w:bCs/>
          <w:sz w:val="28"/>
          <w:szCs w:val="28"/>
          <w:lang w:eastAsia="zh-CN"/>
        </w:rPr>
        <w:t>集中</w:t>
      </w:r>
      <w:r>
        <w:rPr>
          <w:rFonts w:hint="eastAsia" w:ascii="仿宋" w:hAnsi="仿宋" w:eastAsia="仿宋" w:cs="仿宋"/>
          <w:b/>
          <w:bCs/>
          <w:sz w:val="28"/>
          <w:szCs w:val="28"/>
        </w:rPr>
        <w:t>验收阶段工作安排</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仿宋"/>
          <w:sz w:val="28"/>
          <w:szCs w:val="28"/>
        </w:rPr>
        <w:t>共有</w:t>
      </w:r>
      <w:r>
        <w:rPr>
          <w:rFonts w:hint="eastAsia" w:ascii="仿宋" w:hAnsi="仿宋" w:eastAsia="仿宋" w:cs="仿宋"/>
          <w:sz w:val="28"/>
          <w:szCs w:val="28"/>
          <w:lang w:val="en-US" w:eastAsia="zh-CN"/>
        </w:rPr>
        <w:t>10</w:t>
      </w:r>
      <w:r>
        <w:rPr>
          <w:rFonts w:hint="eastAsia" w:ascii="仿宋" w:hAnsi="仿宋" w:eastAsia="仿宋" w:cs="仿宋"/>
          <w:sz w:val="28"/>
          <w:szCs w:val="28"/>
        </w:rPr>
        <w:t>个项目</w:t>
      </w:r>
      <w:r>
        <w:rPr>
          <w:rFonts w:hint="eastAsia" w:ascii="仿宋" w:hAnsi="仿宋" w:eastAsia="仿宋" w:cs="仿宋"/>
          <w:sz w:val="28"/>
          <w:szCs w:val="28"/>
          <w:lang w:eastAsia="zh-CN"/>
        </w:rPr>
        <w:t>未</w:t>
      </w:r>
      <w:r>
        <w:rPr>
          <w:rFonts w:hint="eastAsia" w:ascii="仿宋" w:hAnsi="仿宋" w:eastAsia="仿宋" w:cs="仿宋"/>
          <w:sz w:val="28"/>
          <w:szCs w:val="28"/>
        </w:rPr>
        <w:t>提出主动验收申请，行指委将根据具体情况组织专家进行集中验收</w:t>
      </w:r>
      <w:bookmarkStart w:id="0" w:name="_GoBack"/>
      <w:bookmarkEnd w:id="0"/>
      <w:r>
        <w:rPr>
          <w:rFonts w:hint="eastAsia" w:ascii="仿宋" w:hAnsi="仿宋" w:eastAsia="仿宋" w:cs="仿宋"/>
          <w:sz w:val="28"/>
          <w:szCs w:val="28"/>
        </w:rPr>
        <w:t>，拟作如下验收安排：</w:t>
      </w:r>
    </w:p>
    <w:tbl>
      <w:tblPr>
        <w:tblStyle w:val="7"/>
        <w:tblW w:w="85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33"/>
        <w:gridCol w:w="2207"/>
        <w:gridCol w:w="150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01" w:type="dxa"/>
            <w:vAlign w:val="center"/>
          </w:tcPr>
          <w:p>
            <w:pPr>
              <w:snapToGrid w:val="0"/>
              <w:jc w:val="center"/>
              <w:rPr>
                <w:rFonts w:ascii="黑体" w:hAnsi="黑体" w:eastAsia="黑体" w:cs="Times New Roman"/>
                <w:sz w:val="28"/>
                <w:szCs w:val="28"/>
              </w:rPr>
            </w:pPr>
            <w:r>
              <w:rPr>
                <w:rFonts w:hint="eastAsia" w:ascii="黑体" w:hAnsi="黑体" w:eastAsia="黑体" w:cs="黑体"/>
                <w:sz w:val="28"/>
                <w:szCs w:val="28"/>
              </w:rPr>
              <w:t>序号</w:t>
            </w:r>
          </w:p>
        </w:tc>
        <w:tc>
          <w:tcPr>
            <w:tcW w:w="2233" w:type="dxa"/>
            <w:vAlign w:val="center"/>
          </w:tcPr>
          <w:p>
            <w:pPr>
              <w:snapToGrid w:val="0"/>
              <w:jc w:val="center"/>
              <w:rPr>
                <w:rFonts w:ascii="黑体" w:hAnsi="黑体" w:eastAsia="黑体" w:cs="Times New Roman"/>
                <w:sz w:val="28"/>
                <w:szCs w:val="28"/>
              </w:rPr>
            </w:pPr>
            <w:r>
              <w:rPr>
                <w:rFonts w:hint="eastAsia" w:ascii="黑体" w:hAnsi="黑体" w:eastAsia="黑体" w:cs="黑体"/>
                <w:sz w:val="28"/>
                <w:szCs w:val="28"/>
              </w:rPr>
              <w:t>项目学校</w:t>
            </w:r>
          </w:p>
        </w:tc>
        <w:tc>
          <w:tcPr>
            <w:tcW w:w="2207" w:type="dxa"/>
            <w:vAlign w:val="center"/>
          </w:tcPr>
          <w:p>
            <w:pPr>
              <w:snapToGrid w:val="0"/>
              <w:jc w:val="center"/>
              <w:rPr>
                <w:rFonts w:ascii="黑体" w:hAnsi="黑体" w:eastAsia="黑体" w:cs="Times New Roman"/>
                <w:sz w:val="28"/>
                <w:szCs w:val="28"/>
              </w:rPr>
            </w:pPr>
            <w:r>
              <w:rPr>
                <w:rFonts w:hint="eastAsia" w:ascii="黑体" w:hAnsi="黑体" w:eastAsia="黑体" w:cs="黑体"/>
                <w:sz w:val="28"/>
                <w:szCs w:val="28"/>
              </w:rPr>
              <w:t>专业名称</w:t>
            </w:r>
          </w:p>
        </w:tc>
        <w:tc>
          <w:tcPr>
            <w:tcW w:w="1500" w:type="dxa"/>
            <w:vAlign w:val="center"/>
          </w:tcPr>
          <w:p>
            <w:pPr>
              <w:snapToGrid w:val="0"/>
              <w:jc w:val="center"/>
              <w:rPr>
                <w:rFonts w:ascii="黑体" w:hAnsi="黑体" w:eastAsia="黑体" w:cs="Times New Roman"/>
                <w:sz w:val="28"/>
                <w:szCs w:val="28"/>
              </w:rPr>
            </w:pPr>
            <w:r>
              <w:rPr>
                <w:rFonts w:hint="eastAsia" w:ascii="黑体" w:hAnsi="黑体" w:eastAsia="黑体" w:cs="黑体"/>
                <w:sz w:val="28"/>
                <w:szCs w:val="28"/>
              </w:rPr>
              <w:t>验收日期</w:t>
            </w:r>
          </w:p>
        </w:tc>
        <w:tc>
          <w:tcPr>
            <w:tcW w:w="1949" w:type="dxa"/>
            <w:vAlign w:val="center"/>
          </w:tcPr>
          <w:p>
            <w:pPr>
              <w:snapToGrid w:val="0"/>
              <w:jc w:val="center"/>
              <w:rPr>
                <w:rFonts w:ascii="黑体" w:hAnsi="黑体" w:eastAsia="黑体" w:cs="Times New Roman"/>
                <w:sz w:val="28"/>
                <w:szCs w:val="28"/>
              </w:rPr>
            </w:pPr>
            <w:r>
              <w:rPr>
                <w:rFonts w:hint="eastAsia" w:ascii="黑体" w:hAnsi="黑体" w:eastAsia="黑体" w:cs="黑体"/>
                <w:sz w:val="28"/>
                <w:szCs w:val="28"/>
              </w:rPr>
              <w:t>专家组成员及拟邀请单位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1</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南宁市第四职业技术学校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汽车技术</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7月1日</w:t>
            </w:r>
          </w:p>
        </w:tc>
        <w:tc>
          <w:tcPr>
            <w:tcW w:w="1949" w:type="dxa"/>
            <w:vAlign w:val="center"/>
          </w:tcPr>
          <w:p>
            <w:pPr>
              <w:snapToGrid w:val="0"/>
              <w:rPr>
                <w:rFonts w:ascii="楷体" w:hAnsi="楷体" w:eastAsia="楷体"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2</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南宁市第四职业技术学校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城市轨道交通运营管理</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7月2日</w:t>
            </w:r>
          </w:p>
        </w:tc>
        <w:tc>
          <w:tcPr>
            <w:tcW w:w="1949" w:type="dxa"/>
            <w:vAlign w:val="center"/>
          </w:tcPr>
          <w:p>
            <w:pPr>
              <w:snapToGrid w:val="0"/>
              <w:rPr>
                <w:rFonts w:ascii="楷体" w:hAnsi="楷体" w:eastAsia="楷体"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3</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防城港市理工职业学校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海洋工程</w:t>
            </w:r>
          </w:p>
        </w:tc>
        <w:tc>
          <w:tcPr>
            <w:tcW w:w="1500" w:type="dxa"/>
            <w:vAlign w:val="center"/>
          </w:tcPr>
          <w:p>
            <w:pPr>
              <w:widowControl/>
              <w:snapToGrid w:val="0"/>
              <w:jc w:val="center"/>
              <w:textAlignment w:val="center"/>
              <w:rPr>
                <w:rFonts w:ascii="仿宋" w:hAnsi="仿宋" w:eastAsia="仿宋" w:cs="仿宋"/>
                <w:sz w:val="28"/>
                <w:szCs w:val="28"/>
                <w:lang w:val="en-US"/>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7月16日</w:t>
            </w:r>
          </w:p>
        </w:tc>
        <w:tc>
          <w:tcPr>
            <w:tcW w:w="1949" w:type="dxa"/>
            <w:vAlign w:val="center"/>
          </w:tcPr>
          <w:p>
            <w:pPr>
              <w:snapToGrid w:val="0"/>
              <w:rPr>
                <w:rFonts w:ascii="楷体" w:hAnsi="楷体" w:eastAsia="楷体"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4</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防城港市理工职业学校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汽车运用与维修</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7月17日</w:t>
            </w:r>
          </w:p>
        </w:tc>
        <w:tc>
          <w:tcPr>
            <w:tcW w:w="1949" w:type="dxa"/>
          </w:tcPr>
          <w:p>
            <w:pPr>
              <w:rPr>
                <w:rFonts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5</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灵山县职业技术学校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汽车技术</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7月5日</w:t>
            </w:r>
          </w:p>
        </w:tc>
        <w:tc>
          <w:tcPr>
            <w:tcW w:w="1949" w:type="dxa"/>
          </w:tcPr>
          <w:p>
            <w:pPr>
              <w:rPr>
                <w:rFonts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6</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广西南宁高级技工学校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汽车车身修复</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7月20日</w:t>
            </w:r>
          </w:p>
        </w:tc>
        <w:tc>
          <w:tcPr>
            <w:tcW w:w="1949" w:type="dxa"/>
          </w:tcPr>
          <w:p>
            <w:pPr>
              <w:rPr>
                <w:rFonts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7</w:t>
            </w:r>
          </w:p>
        </w:tc>
        <w:tc>
          <w:tcPr>
            <w:tcW w:w="2233" w:type="dxa"/>
            <w:vAlign w:val="center"/>
          </w:tcPr>
          <w:p>
            <w:pPr>
              <w:widowControl/>
              <w:snapToGrid w:val="0"/>
              <w:jc w:val="center"/>
              <w:textAlignment w:val="center"/>
              <w:rPr>
                <w:rFonts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柳州市技工学校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汽车制造与检修</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auto"/>
                <w:kern w:val="0"/>
                <w:sz w:val="28"/>
                <w:szCs w:val="28"/>
                <w:lang w:val="en-US" w:eastAsia="zh-CN"/>
              </w:rPr>
              <w:t>7月25日</w:t>
            </w:r>
          </w:p>
        </w:tc>
        <w:tc>
          <w:tcPr>
            <w:tcW w:w="1949" w:type="dxa"/>
          </w:tcPr>
          <w:p>
            <w:pPr>
              <w:rPr>
                <w:rFonts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8</w:t>
            </w:r>
          </w:p>
        </w:tc>
        <w:tc>
          <w:tcPr>
            <w:tcW w:w="2233" w:type="dxa"/>
            <w:vAlign w:val="center"/>
          </w:tcPr>
          <w:p>
            <w:pPr>
              <w:widowControl/>
              <w:snapToGrid w:val="0"/>
              <w:jc w:val="center"/>
              <w:textAlignment w:val="center"/>
              <w:rPr>
                <w:rFonts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广西理工职业技术学校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汽车运用与维修</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7月9日</w:t>
            </w:r>
          </w:p>
        </w:tc>
        <w:tc>
          <w:tcPr>
            <w:tcW w:w="1949" w:type="dxa"/>
          </w:tcPr>
          <w:p>
            <w:pPr>
              <w:rPr>
                <w:rFonts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9</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柳州市第二职业技术学校</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14:textFill>
                  <w14:solidFill>
                    <w14:schemeClr w14:val="tx1"/>
                  </w14:solidFill>
                </w14:textFill>
              </w:rPr>
              <w:t>工程机械运用与维修</w:t>
            </w:r>
          </w:p>
        </w:tc>
        <w:tc>
          <w:tcPr>
            <w:tcW w:w="1500"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7月10日</w:t>
            </w:r>
          </w:p>
        </w:tc>
        <w:tc>
          <w:tcPr>
            <w:tcW w:w="1949" w:type="dxa"/>
          </w:tcPr>
          <w:p>
            <w:pPr>
              <w:rPr>
                <w:rFonts w:cs="Times New Roman"/>
                <w:sz w:val="28"/>
                <w:szCs w:val="28"/>
              </w:rPr>
            </w:pPr>
            <w:r>
              <w:rPr>
                <w:rFonts w:hint="eastAsia" w:ascii="楷体" w:hAnsi="楷体" w:eastAsia="楷体" w:cs="楷体"/>
                <w:sz w:val="28"/>
                <w:szCs w:val="28"/>
              </w:rPr>
              <w:t>专家待定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1" w:type="dxa"/>
            <w:vAlign w:val="center"/>
          </w:tcPr>
          <w:p>
            <w:pPr>
              <w:snapToGrid w:val="0"/>
              <w:jc w:val="center"/>
              <w:rPr>
                <w:rFonts w:ascii="仿宋" w:hAnsi="仿宋" w:eastAsia="仿宋" w:cs="仿宋"/>
                <w:sz w:val="28"/>
                <w:szCs w:val="28"/>
              </w:rPr>
            </w:pPr>
            <w:r>
              <w:rPr>
                <w:rFonts w:ascii="仿宋" w:hAnsi="仿宋" w:eastAsia="仿宋" w:cs="仿宋"/>
                <w:sz w:val="28"/>
                <w:szCs w:val="28"/>
              </w:rPr>
              <w:t>10</w:t>
            </w:r>
          </w:p>
        </w:tc>
        <w:tc>
          <w:tcPr>
            <w:tcW w:w="2233"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eastAsia="zh-CN"/>
                <w14:textFill>
                  <w14:solidFill>
                    <w14:schemeClr w14:val="tx1"/>
                  </w14:solidFill>
                </w14:textFill>
              </w:rPr>
              <w:t>梧州职业学院</w:t>
            </w:r>
          </w:p>
        </w:tc>
        <w:tc>
          <w:tcPr>
            <w:tcW w:w="2207" w:type="dxa"/>
            <w:vAlign w:val="center"/>
          </w:tcPr>
          <w:p>
            <w:pPr>
              <w:widowControl/>
              <w:snapToGrid w:val="0"/>
              <w:jc w:val="center"/>
              <w:textAlignment w:val="center"/>
              <w:rPr>
                <w:rFonts w:ascii="仿宋" w:hAnsi="仿宋" w:eastAsia="仿宋" w:cs="Times New Roman"/>
                <w:sz w:val="28"/>
                <w:szCs w:val="28"/>
              </w:rPr>
            </w:pPr>
            <w:r>
              <w:rPr>
                <w:rFonts w:hint="eastAsia" w:asciiTheme="minorEastAsia" w:hAnsiTheme="minorEastAsia" w:cstheme="minorEastAsia"/>
                <w:color w:val="000000" w:themeColor="text1"/>
                <w:kern w:val="0"/>
                <w:sz w:val="28"/>
                <w:szCs w:val="28"/>
                <w:lang w:eastAsia="zh-CN"/>
                <w14:textFill>
                  <w14:solidFill>
                    <w14:schemeClr w14:val="tx1"/>
                  </w14:solidFill>
                </w14:textFill>
              </w:rPr>
              <w:t>汽车检测与维修</w:t>
            </w:r>
          </w:p>
        </w:tc>
        <w:tc>
          <w:tcPr>
            <w:tcW w:w="1500" w:type="dxa"/>
            <w:vAlign w:val="center"/>
          </w:tcPr>
          <w:p>
            <w:pPr>
              <w:widowControl/>
              <w:snapToGrid w:val="0"/>
              <w:jc w:val="center"/>
              <w:textAlignment w:val="center"/>
              <w:rPr>
                <w:rFonts w:ascii="仿宋" w:hAnsi="仿宋" w:eastAsia="仿宋" w:cs="Times New Roman"/>
                <w:sz w:val="28"/>
                <w:szCs w:val="28"/>
                <w:lang w:val="en-US"/>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7月26日</w:t>
            </w:r>
          </w:p>
        </w:tc>
        <w:tc>
          <w:tcPr>
            <w:tcW w:w="1949" w:type="dxa"/>
          </w:tcPr>
          <w:p>
            <w:pPr>
              <w:rPr>
                <w:rFonts w:cs="Times New Roman"/>
                <w:sz w:val="28"/>
                <w:szCs w:val="28"/>
              </w:rPr>
            </w:pPr>
            <w:r>
              <w:rPr>
                <w:rFonts w:hint="eastAsia" w:ascii="楷体" w:hAnsi="楷体" w:eastAsia="楷体" w:cs="楷体"/>
                <w:sz w:val="28"/>
                <w:szCs w:val="28"/>
              </w:rPr>
              <w:t>专家待定</w:t>
            </w:r>
          </w:p>
        </w:tc>
      </w:tr>
    </w:tbl>
    <w:p>
      <w:pPr>
        <w:adjustRightInd w:val="0"/>
        <w:snapToGrid w:val="0"/>
        <w:spacing w:line="560" w:lineRule="exact"/>
        <w:ind w:firstLine="562" w:firstLineChars="200"/>
        <w:rPr>
          <w:rFonts w:hint="eastAsia" w:ascii="仿宋" w:hAnsi="仿宋" w:eastAsia="仿宋" w:cs="仿宋"/>
          <w:b/>
          <w:bCs/>
          <w:sz w:val="28"/>
          <w:szCs w:val="28"/>
        </w:rPr>
      </w:pPr>
    </w:p>
    <w:p>
      <w:pPr>
        <w:adjustRightInd w:val="0"/>
        <w:snapToGrid w:val="0"/>
        <w:spacing w:line="56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八、其他事项</w:t>
      </w:r>
    </w:p>
    <w:p>
      <w:pPr>
        <w:adjustRightInd w:val="0"/>
        <w:snapToGrid w:val="0"/>
        <w:spacing w:line="560" w:lineRule="exact"/>
        <w:ind w:firstLine="480"/>
        <w:rPr>
          <w:rFonts w:ascii="仿宋" w:hAnsi="仿宋" w:eastAsia="仿宋" w:cs="仿宋"/>
          <w:sz w:val="28"/>
          <w:szCs w:val="28"/>
        </w:rPr>
      </w:pPr>
      <w:r>
        <w:rPr>
          <w:rFonts w:hint="eastAsia" w:ascii="仿宋" w:hAnsi="仿宋" w:eastAsia="仿宋" w:cs="仿宋"/>
          <w:sz w:val="28"/>
          <w:szCs w:val="28"/>
        </w:rPr>
        <w:t>广西交通运输行指委秘书处地址：南宁市兴宁区三塘镇四塘社区四塘街</w:t>
      </w:r>
      <w:r>
        <w:rPr>
          <w:rFonts w:ascii="仿宋" w:hAnsi="仿宋" w:eastAsia="仿宋" w:cs="仿宋"/>
          <w:sz w:val="28"/>
          <w:szCs w:val="28"/>
        </w:rPr>
        <w:t>4</w:t>
      </w:r>
      <w:r>
        <w:rPr>
          <w:rFonts w:hint="eastAsia" w:ascii="仿宋" w:hAnsi="仿宋" w:eastAsia="仿宋" w:cs="仿宋"/>
          <w:sz w:val="28"/>
          <w:szCs w:val="28"/>
        </w:rPr>
        <w:t>号广西交通职业技术学院</w:t>
      </w:r>
      <w:r>
        <w:rPr>
          <w:rFonts w:hint="eastAsia" w:ascii="仿宋" w:hAnsi="仿宋" w:eastAsia="仿宋" w:cs="仿宋"/>
          <w:sz w:val="28"/>
          <w:szCs w:val="28"/>
          <w:lang w:eastAsia="zh-CN"/>
        </w:rPr>
        <w:t>管理楼</w:t>
      </w:r>
      <w:r>
        <w:rPr>
          <w:rFonts w:hint="eastAsia" w:ascii="仿宋" w:hAnsi="仿宋" w:eastAsia="仿宋" w:cs="仿宋"/>
          <w:sz w:val="28"/>
          <w:szCs w:val="28"/>
          <w:lang w:val="en-US" w:eastAsia="zh-CN"/>
        </w:rPr>
        <w:t>205室</w:t>
      </w:r>
      <w:r>
        <w:rPr>
          <w:rFonts w:hint="eastAsia" w:ascii="仿宋" w:hAnsi="仿宋" w:eastAsia="仿宋" w:cs="仿宋"/>
          <w:sz w:val="28"/>
          <w:szCs w:val="28"/>
        </w:rPr>
        <w:t>，邮编：</w:t>
      </w:r>
      <w:r>
        <w:rPr>
          <w:rFonts w:ascii="仿宋" w:hAnsi="仿宋" w:eastAsia="仿宋" w:cs="仿宋"/>
          <w:sz w:val="28"/>
          <w:szCs w:val="28"/>
        </w:rPr>
        <w:t>530216</w:t>
      </w:r>
    </w:p>
    <w:p>
      <w:pPr>
        <w:adjustRightInd w:val="0"/>
        <w:snapToGrid w:val="0"/>
        <w:spacing w:line="560" w:lineRule="exact"/>
        <w:ind w:firstLine="480"/>
        <w:rPr>
          <w:rFonts w:ascii="仿宋" w:hAnsi="仿宋" w:eastAsia="仿宋" w:cs="仿宋"/>
          <w:sz w:val="28"/>
          <w:szCs w:val="28"/>
        </w:rPr>
      </w:pPr>
      <w:r>
        <w:rPr>
          <w:rFonts w:hint="eastAsia" w:ascii="仿宋" w:hAnsi="仿宋" w:eastAsia="仿宋" w:cs="仿宋"/>
          <w:sz w:val="28"/>
          <w:szCs w:val="28"/>
        </w:rPr>
        <w:t>广西交通运输行指委邮箱：</w:t>
      </w:r>
      <w:r>
        <w:rPr>
          <w:rFonts w:ascii="仿宋" w:hAnsi="仿宋" w:eastAsia="仿宋" w:cs="仿宋"/>
          <w:sz w:val="28"/>
          <w:szCs w:val="28"/>
        </w:rPr>
        <w:t>gxjthzw@163.com</w:t>
      </w:r>
    </w:p>
    <w:p>
      <w:pPr>
        <w:adjustRightInd w:val="0"/>
        <w:snapToGrid w:val="0"/>
        <w:spacing w:line="560" w:lineRule="exact"/>
        <w:ind w:firstLine="480"/>
        <w:rPr>
          <w:rFonts w:ascii="仿宋" w:hAnsi="仿宋" w:eastAsia="仿宋" w:cs="仿宋"/>
          <w:sz w:val="28"/>
          <w:szCs w:val="28"/>
        </w:rPr>
      </w:pPr>
      <w:r>
        <w:rPr>
          <w:rFonts w:hint="eastAsia" w:ascii="仿宋" w:hAnsi="仿宋" w:eastAsia="仿宋" w:cs="仿宋"/>
          <w:sz w:val="28"/>
          <w:szCs w:val="28"/>
        </w:rPr>
        <w:t>联系人：张立玮：</w:t>
      </w:r>
      <w:r>
        <w:rPr>
          <w:rFonts w:ascii="仿宋" w:hAnsi="仿宋" w:eastAsia="仿宋" w:cs="仿宋"/>
          <w:sz w:val="28"/>
          <w:szCs w:val="28"/>
        </w:rPr>
        <w:t>18207710662</w:t>
      </w:r>
      <w:r>
        <w:rPr>
          <w:rFonts w:hint="eastAsia" w:ascii="仿宋" w:hAnsi="仿宋" w:eastAsia="仿宋" w:cs="仿宋"/>
          <w:sz w:val="28"/>
          <w:szCs w:val="28"/>
        </w:rPr>
        <w:t>；陈均康：</w:t>
      </w:r>
      <w:r>
        <w:rPr>
          <w:rFonts w:ascii="仿宋" w:hAnsi="仿宋" w:eastAsia="仿宋" w:cs="仿宋"/>
          <w:sz w:val="28"/>
          <w:szCs w:val="28"/>
        </w:rPr>
        <w:t>18777189717</w:t>
      </w:r>
    </w:p>
    <w:p>
      <w:pPr>
        <w:adjustRightInd w:val="0"/>
        <w:snapToGrid w:val="0"/>
        <w:spacing w:line="560" w:lineRule="exact"/>
        <w:ind w:firstLine="480"/>
        <w:rPr>
          <w:rFonts w:ascii="仿宋" w:hAnsi="仿宋" w:eastAsia="仿宋" w:cs="Times New Roman"/>
          <w:sz w:val="28"/>
          <w:szCs w:val="28"/>
        </w:rPr>
      </w:pPr>
      <w:r>
        <w:drawing>
          <wp:anchor distT="0" distB="0" distL="114300" distR="114300" simplePos="0" relativeHeight="251659264" behindDoc="0" locked="0" layoutInCell="1" allowOverlap="1">
            <wp:simplePos x="0" y="0"/>
            <wp:positionH relativeFrom="column">
              <wp:posOffset>2896235</wp:posOffset>
            </wp:positionH>
            <wp:positionV relativeFrom="paragraph">
              <wp:posOffset>110490</wp:posOffset>
            </wp:positionV>
            <wp:extent cx="1699260" cy="1670685"/>
            <wp:effectExtent l="0" t="122555" r="0" b="0"/>
            <wp:wrapNone/>
            <wp:docPr id="7" name="图片 7" descr="广西交通运输职业教育教学指导委员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广西交通运输职业教育教学指导委员会"/>
                    <pic:cNvPicPr>
                      <a:picLocks noChangeAspect="1"/>
                    </pic:cNvPicPr>
                  </pic:nvPicPr>
                  <pic:blipFill>
                    <a:blip r:embed="rId5"/>
                    <a:stretch>
                      <a:fillRect/>
                    </a:stretch>
                  </pic:blipFill>
                  <pic:spPr>
                    <a:xfrm rot="540000">
                      <a:off x="0" y="0"/>
                      <a:ext cx="1699260" cy="1670685"/>
                    </a:xfrm>
                    <a:prstGeom prst="rect">
                      <a:avLst/>
                    </a:prstGeom>
                    <a:noFill/>
                    <a:ln w="9525">
                      <a:noFill/>
                    </a:ln>
                  </pic:spPr>
                </pic:pic>
              </a:graphicData>
            </a:graphic>
          </wp:anchor>
        </w:drawing>
      </w:r>
    </w:p>
    <w:p>
      <w:pPr>
        <w:adjustRightInd w:val="0"/>
        <w:snapToGrid w:val="0"/>
        <w:spacing w:line="560" w:lineRule="exact"/>
        <w:rPr>
          <w:rFonts w:ascii="仿宋" w:hAnsi="仿宋" w:eastAsia="仿宋" w:cs="Times New Roman"/>
          <w:sz w:val="28"/>
          <w:szCs w:val="28"/>
        </w:rPr>
      </w:pPr>
    </w:p>
    <w:p>
      <w:pPr>
        <w:adjustRightInd w:val="0"/>
        <w:snapToGrid w:val="0"/>
        <w:spacing w:line="560" w:lineRule="exact"/>
        <w:jc w:val="right"/>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广西交通运输职业教育教学指导委员会</w:t>
      </w:r>
    </w:p>
    <w:p>
      <w:pPr>
        <w:wordWrap w:val="0"/>
        <w:adjustRightInd w:val="0"/>
        <w:snapToGrid w:val="0"/>
        <w:spacing w:line="560" w:lineRule="exact"/>
        <w:jc w:val="right"/>
        <w:rPr>
          <w:rFonts w:ascii="仿宋" w:hAnsi="仿宋" w:eastAsia="仿宋" w:cs="Times New Roman"/>
          <w:sz w:val="32"/>
          <w:szCs w:val="32"/>
        </w:rPr>
      </w:pPr>
      <w:r>
        <w:rPr>
          <w:rFonts w:ascii="仿宋" w:hAnsi="仿宋" w:eastAsia="仿宋" w:cs="仿宋"/>
          <w:sz w:val="28"/>
          <w:szCs w:val="28"/>
        </w:rPr>
        <w:t>2018</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ascii="仿宋" w:hAnsi="仿宋" w:eastAsia="仿宋" w:cs="仿宋"/>
          <w:sz w:val="28"/>
          <w:szCs w:val="28"/>
        </w:rPr>
        <w:t xml:space="preserve">   </w:t>
      </w:r>
      <w:r>
        <w:rPr>
          <w:rFonts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B1A02"/>
    <w:rsid w:val="0AD23326"/>
    <w:rsid w:val="127C569E"/>
    <w:rsid w:val="16441157"/>
    <w:rsid w:val="20574650"/>
    <w:rsid w:val="3CFB1A02"/>
    <w:rsid w:val="4A892086"/>
    <w:rsid w:val="4F8F5646"/>
    <w:rsid w:val="64B3525A"/>
    <w:rsid w:val="6A7077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adjustRightInd w:val="0"/>
      <w:snapToGrid w:val="0"/>
      <w:ind w:firstLine="880" w:firstLineChars="200"/>
      <w:jc w:val="left"/>
      <w:outlineLvl w:val="0"/>
    </w:pPr>
    <w:rPr>
      <w:rFonts w:eastAsia="仿宋"/>
      <w:b/>
      <w:bCs/>
      <w:kern w:val="44"/>
      <w:sz w:val="32"/>
      <w:szCs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3591</Words>
  <Characters>3733</Characters>
  <Lines>0</Lines>
  <Paragraphs>0</Paragraphs>
  <TotalTime>2</TotalTime>
  <ScaleCrop>false</ScaleCrop>
  <LinksUpToDate>false</LinksUpToDate>
  <CharactersWithSpaces>3751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2018-06-06T05:25:00Z</dcterms:created>
  <dc:creator>Administrator</dc:creator>
  <cp:lastModifiedBy>Administrator</cp:lastModifiedBy>
  <dcterms:modified xsi:type="dcterms:W3CDTF">2018-06-27T09:03:48Z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